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F1104">
      <w:pPr>
        <w:snapToGrid w:val="0"/>
        <w:spacing w:line="440" w:lineRule="exact"/>
        <w:jc w:val="center"/>
        <w:rPr>
          <w:rFonts w:eastAsia="方正小标宋简体"/>
          <w:sz w:val="32"/>
          <w:szCs w:val="32"/>
        </w:rPr>
      </w:pPr>
      <w:r>
        <w:rPr>
          <w:rFonts w:hint="eastAsia" w:eastAsia="方正小标宋简体"/>
          <w:sz w:val="32"/>
          <w:szCs w:val="32"/>
          <w:lang w:eastAsia="zh-CN"/>
        </w:rPr>
        <w:t>2026年福州市润滑油</w:t>
      </w:r>
      <w:r>
        <w:rPr>
          <w:rFonts w:eastAsia="方正小标宋简体"/>
          <w:sz w:val="32"/>
          <w:szCs w:val="32"/>
        </w:rPr>
        <w:t>产品质量监督抽查实施细则</w:t>
      </w:r>
    </w:p>
    <w:p w14:paraId="6AE40C29">
      <w:pPr>
        <w:snapToGrid w:val="0"/>
        <w:spacing w:line="440" w:lineRule="exact"/>
        <w:ind w:firstLine="359" w:firstLineChars="171"/>
        <w:rPr>
          <w:szCs w:val="21"/>
        </w:rPr>
      </w:pPr>
    </w:p>
    <w:p w14:paraId="09DA6019">
      <w:pPr>
        <w:snapToGrid w:val="0"/>
        <w:spacing w:line="440" w:lineRule="exact"/>
        <w:rPr>
          <w:rFonts w:eastAsia="黑体"/>
          <w:szCs w:val="21"/>
        </w:rPr>
      </w:pPr>
      <w:r>
        <w:rPr>
          <w:rFonts w:eastAsia="黑体"/>
          <w:szCs w:val="21"/>
        </w:rPr>
        <w:t>1 抽样方法</w:t>
      </w:r>
    </w:p>
    <w:p w14:paraId="0477C5E4">
      <w:pPr>
        <w:snapToGrid w:val="0"/>
        <w:spacing w:line="440" w:lineRule="exact"/>
        <w:ind w:firstLine="420" w:firstLineChars="200"/>
        <w:rPr>
          <w:szCs w:val="21"/>
        </w:rPr>
      </w:pPr>
      <w:r>
        <w:rPr>
          <w:szCs w:val="21"/>
        </w:rPr>
        <w:t>以随机抽样的方式在被抽样销售者的待销产品中抽取。</w:t>
      </w:r>
    </w:p>
    <w:p w14:paraId="29971126">
      <w:pPr>
        <w:snapToGrid w:val="0"/>
        <w:spacing w:line="440" w:lineRule="exact"/>
        <w:ind w:firstLine="420" w:firstLineChars="200"/>
        <w:rPr>
          <w:szCs w:val="21"/>
        </w:rPr>
      </w:pPr>
      <w:r>
        <w:rPr>
          <w:szCs w:val="21"/>
        </w:rPr>
        <w:t>随机数一般可使用随机数表等方法产生。</w:t>
      </w:r>
    </w:p>
    <w:p w14:paraId="03FA4517">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w:t>
      </w:r>
      <w:r>
        <w:rPr>
          <w:rFonts w:hint="default" w:ascii="Times New Roman" w:hAnsi="Times New Roman" w:eastAsia="宋体" w:cs="Times New Roman"/>
          <w:color w:val="auto"/>
          <w:kern w:val="2"/>
          <w:sz w:val="21"/>
          <w:szCs w:val="21"/>
          <w:highlight w:val="none"/>
          <w:lang w:val="en-US" w:eastAsia="zh-CN" w:bidi="ar-SA"/>
        </w:rPr>
        <w:t>2桶（不少于6L）</w:t>
      </w:r>
      <w:r>
        <w:rPr>
          <w:rFonts w:hint="default" w:ascii="Times New Roman" w:hAnsi="Times New Roman" w:cs="Times New Roman"/>
          <w:szCs w:val="21"/>
        </w:rPr>
        <w:t>，其中</w:t>
      </w:r>
      <w:r>
        <w:rPr>
          <w:rFonts w:hint="default" w:ascii="Times New Roman" w:hAnsi="Times New Roman" w:eastAsia="宋体" w:cs="Times New Roman"/>
          <w:color w:val="auto"/>
          <w:kern w:val="2"/>
          <w:sz w:val="21"/>
          <w:szCs w:val="21"/>
          <w:highlight w:val="none"/>
          <w:lang w:val="en-US" w:eastAsia="zh-CN" w:bidi="ar-SA"/>
        </w:rPr>
        <w:t>1桶（不少于3L）</w:t>
      </w:r>
      <w:r>
        <w:rPr>
          <w:rFonts w:hint="default" w:ascii="Times New Roman" w:hAnsi="Times New Roman" w:cs="Times New Roman"/>
          <w:szCs w:val="21"/>
        </w:rPr>
        <w:t>作为检验样品，</w:t>
      </w:r>
      <w:r>
        <w:rPr>
          <w:rFonts w:hint="default" w:ascii="Times New Roman" w:hAnsi="Times New Roman" w:eastAsia="宋体" w:cs="Times New Roman"/>
          <w:color w:val="auto"/>
          <w:kern w:val="2"/>
          <w:sz w:val="21"/>
          <w:szCs w:val="21"/>
          <w:highlight w:val="none"/>
          <w:lang w:val="en-US" w:eastAsia="zh-CN" w:bidi="ar-SA"/>
        </w:rPr>
        <w:t>1桶（不少于3L）</w:t>
      </w:r>
      <w:r>
        <w:rPr>
          <w:rFonts w:hint="default" w:ascii="Times New Roman" w:hAnsi="Times New Roman" w:cs="Times New Roman"/>
          <w:szCs w:val="21"/>
        </w:rPr>
        <w:t>作为备用样品。</w:t>
      </w:r>
    </w:p>
    <w:p w14:paraId="140FFD96">
      <w:pPr>
        <w:snapToGrid w:val="0"/>
        <w:spacing w:line="440" w:lineRule="exact"/>
        <w:rPr>
          <w:rFonts w:hint="default" w:ascii="Times New Roman" w:hAnsi="Times New Roman" w:cs="Times New Roman"/>
          <w:szCs w:val="21"/>
        </w:rPr>
      </w:pPr>
    </w:p>
    <w:p w14:paraId="7F25360A">
      <w:pPr>
        <w:snapToGrid w:val="0"/>
        <w:spacing w:line="440" w:lineRule="exact"/>
        <w:rPr>
          <w:rStyle w:val="11"/>
          <w:rFonts w:hint="default" w:ascii="Times New Roman" w:hAnsi="Times New Roman" w:cs="Times New Roman"/>
        </w:rPr>
      </w:pPr>
      <w:r>
        <w:rPr>
          <w:rFonts w:hint="default" w:ascii="Times New Roman" w:hAnsi="Times New Roman" w:eastAsia="黑体" w:cs="Times New Roman"/>
          <w:szCs w:val="21"/>
        </w:rPr>
        <w:t>2 检验依据</w:t>
      </w:r>
    </w:p>
    <w:p w14:paraId="504C8C48">
      <w:pPr>
        <w:snapToGrid w:val="0"/>
        <w:spacing w:line="440" w:lineRule="exact"/>
        <w:jc w:val="center"/>
        <w:rPr>
          <w:rStyle w:val="11"/>
          <w:rFonts w:hint="default" w:ascii="Times New Roman" w:hAnsi="Times New Roman" w:eastAsia="宋体" w:cs="Times New Roman"/>
          <w:lang w:val="en-US" w:eastAsia="zh-CN"/>
        </w:rPr>
      </w:pPr>
      <w:r>
        <w:rPr>
          <w:rStyle w:val="11"/>
          <w:rFonts w:hint="eastAsia" w:cs="Times New Roman"/>
          <w:lang w:val="en-US" w:eastAsia="zh-CN"/>
        </w:rPr>
        <w:t>表1 润滑油检验项目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4252"/>
        <w:gridCol w:w="3672"/>
      </w:tblGrid>
      <w:tr w14:paraId="49B5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1B48F33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序号</w:t>
            </w:r>
          </w:p>
        </w:tc>
        <w:tc>
          <w:tcPr>
            <w:tcW w:w="4252" w:type="dxa"/>
            <w:noWrap w:val="0"/>
            <w:vAlign w:val="center"/>
          </w:tcPr>
          <w:p w14:paraId="434E7A4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检验项目</w:t>
            </w:r>
          </w:p>
        </w:tc>
        <w:tc>
          <w:tcPr>
            <w:tcW w:w="3672" w:type="dxa"/>
            <w:noWrap w:val="0"/>
            <w:vAlign w:val="center"/>
          </w:tcPr>
          <w:p w14:paraId="2574AC9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7EE85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395B5B78">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highlight w:val="none"/>
                <w:u w:val="none"/>
                <w:lang w:val="en-US" w:eastAsia="zh-CN" w:bidi="ar"/>
              </w:rPr>
              <w:t>1</w:t>
            </w:r>
          </w:p>
        </w:tc>
        <w:tc>
          <w:tcPr>
            <w:tcW w:w="4252" w:type="dxa"/>
            <w:shd w:val="clear" w:color="auto" w:fill="auto"/>
            <w:noWrap w:val="0"/>
            <w:vAlign w:val="center"/>
          </w:tcPr>
          <w:p w14:paraId="7796B3E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低温动力黏度</w:t>
            </w:r>
          </w:p>
        </w:tc>
        <w:tc>
          <w:tcPr>
            <w:tcW w:w="3672" w:type="dxa"/>
            <w:shd w:val="clear" w:color="auto" w:fill="auto"/>
            <w:noWrap w:val="0"/>
            <w:vAlign w:val="center"/>
          </w:tcPr>
          <w:p w14:paraId="111043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7"/>
                <w:kern w:val="2"/>
                <w:sz w:val="21"/>
                <w:szCs w:val="21"/>
                <w:lang w:val="en-US" w:eastAsia="zh-CN" w:bidi="ar-SA"/>
              </w:rPr>
            </w:pPr>
            <w:r>
              <w:rPr>
                <w:rFonts w:hint="default" w:ascii="Times New Roman" w:hAnsi="Times New Roman" w:eastAsia="宋体" w:cs="Times New Roman"/>
                <w:spacing w:val="7"/>
                <w:sz w:val="21"/>
                <w:szCs w:val="21"/>
                <w:lang w:val="en-US" w:eastAsia="zh-CN"/>
              </w:rPr>
              <w:t>GB/T 6538-2022</w:t>
            </w:r>
          </w:p>
        </w:tc>
      </w:tr>
      <w:tr w14:paraId="2BE2A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25C68F40">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highlight w:val="none"/>
                <w:u w:val="none"/>
                <w:lang w:val="en-US" w:eastAsia="zh-CN" w:bidi="ar"/>
              </w:rPr>
              <w:t>2</w:t>
            </w:r>
          </w:p>
        </w:tc>
        <w:tc>
          <w:tcPr>
            <w:tcW w:w="4252" w:type="dxa"/>
            <w:shd w:val="clear" w:color="auto" w:fill="auto"/>
            <w:noWrap w:val="0"/>
            <w:vAlign w:val="center"/>
          </w:tcPr>
          <w:p w14:paraId="62A782B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边界泵送温度</w:t>
            </w:r>
          </w:p>
        </w:tc>
        <w:tc>
          <w:tcPr>
            <w:tcW w:w="3672" w:type="dxa"/>
            <w:shd w:val="clear" w:color="auto" w:fill="auto"/>
            <w:noWrap w:val="0"/>
            <w:vAlign w:val="center"/>
          </w:tcPr>
          <w:p w14:paraId="191BA2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7"/>
                <w:kern w:val="2"/>
                <w:sz w:val="21"/>
                <w:szCs w:val="21"/>
                <w:lang w:val="en-US" w:eastAsia="zh-CN" w:bidi="ar-SA"/>
              </w:rPr>
            </w:pPr>
            <w:r>
              <w:rPr>
                <w:rFonts w:hint="default" w:ascii="Times New Roman" w:hAnsi="Times New Roman" w:eastAsia="宋体" w:cs="Times New Roman"/>
                <w:spacing w:val="7"/>
                <w:sz w:val="21"/>
                <w:szCs w:val="21"/>
                <w:lang w:val="en-US" w:eastAsia="zh-CN"/>
              </w:rPr>
              <w:t>GB/T 9171-1988</w:t>
            </w:r>
          </w:p>
        </w:tc>
      </w:tr>
      <w:tr w14:paraId="2694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283C01C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3</w:t>
            </w:r>
          </w:p>
        </w:tc>
        <w:tc>
          <w:tcPr>
            <w:tcW w:w="4252" w:type="dxa"/>
            <w:shd w:val="clear" w:color="auto" w:fill="auto"/>
            <w:noWrap w:val="0"/>
            <w:vAlign w:val="center"/>
          </w:tcPr>
          <w:p w14:paraId="4BD39BC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低温泵送黏度</w:t>
            </w:r>
          </w:p>
        </w:tc>
        <w:tc>
          <w:tcPr>
            <w:tcW w:w="3672" w:type="dxa"/>
            <w:noWrap w:val="0"/>
            <w:vAlign w:val="center"/>
          </w:tcPr>
          <w:p w14:paraId="0B67DBF4">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spacing w:val="7"/>
                <w:sz w:val="21"/>
                <w:szCs w:val="21"/>
                <w:lang w:val="en-US" w:eastAsia="zh-CN"/>
              </w:rPr>
              <w:t>NB/SH/T 0562-2013</w:t>
            </w:r>
          </w:p>
        </w:tc>
      </w:tr>
      <w:tr w14:paraId="002F4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3BE058C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4</w:t>
            </w:r>
          </w:p>
        </w:tc>
        <w:tc>
          <w:tcPr>
            <w:tcW w:w="4252" w:type="dxa"/>
            <w:shd w:val="clear" w:color="auto" w:fill="auto"/>
            <w:noWrap w:val="0"/>
            <w:vAlign w:val="center"/>
          </w:tcPr>
          <w:p w14:paraId="417A99A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运动黏度（100℃）</w:t>
            </w:r>
          </w:p>
        </w:tc>
        <w:tc>
          <w:tcPr>
            <w:tcW w:w="3672" w:type="dxa"/>
            <w:noWrap w:val="0"/>
            <w:vAlign w:val="center"/>
          </w:tcPr>
          <w:p w14:paraId="0D1A49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7"/>
                <w:sz w:val="21"/>
                <w:szCs w:val="21"/>
                <w:lang w:val="en-US" w:eastAsia="zh-CN"/>
              </w:rPr>
            </w:pPr>
            <w:r>
              <w:rPr>
                <w:rFonts w:hint="default" w:ascii="Times New Roman" w:hAnsi="Times New Roman" w:eastAsia="宋体" w:cs="Times New Roman"/>
                <w:spacing w:val="7"/>
                <w:sz w:val="21"/>
                <w:szCs w:val="21"/>
                <w:lang w:val="en-US" w:eastAsia="zh-CN"/>
              </w:rPr>
              <w:t>GB/T 265-1988</w:t>
            </w:r>
          </w:p>
          <w:p w14:paraId="5F671B2D">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spacing w:val="7"/>
                <w:sz w:val="21"/>
                <w:szCs w:val="21"/>
                <w:lang w:val="en-US" w:eastAsia="zh-CN"/>
              </w:rPr>
              <w:t>GB/T 30515-2014</w:t>
            </w:r>
          </w:p>
        </w:tc>
      </w:tr>
      <w:tr w14:paraId="13F31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0041E3A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5</w:t>
            </w:r>
          </w:p>
        </w:tc>
        <w:tc>
          <w:tcPr>
            <w:tcW w:w="4252" w:type="dxa"/>
            <w:shd w:val="clear" w:color="auto" w:fill="auto"/>
            <w:noWrap w:val="0"/>
            <w:vAlign w:val="center"/>
          </w:tcPr>
          <w:p w14:paraId="7F73648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倾点</w:t>
            </w:r>
          </w:p>
        </w:tc>
        <w:tc>
          <w:tcPr>
            <w:tcW w:w="3672" w:type="dxa"/>
            <w:noWrap w:val="0"/>
            <w:vAlign w:val="center"/>
          </w:tcPr>
          <w:p w14:paraId="57147218">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spacing w:val="7"/>
                <w:sz w:val="21"/>
                <w:szCs w:val="21"/>
                <w:lang w:val="en-US" w:eastAsia="zh-CN"/>
              </w:rPr>
              <w:t>GB/T 3535-2025</w:t>
            </w:r>
          </w:p>
        </w:tc>
      </w:tr>
      <w:tr w14:paraId="51CB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37E0751A">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highlight w:val="none"/>
                <w:u w:val="none"/>
                <w:lang w:val="en-US" w:eastAsia="zh-CN" w:bidi="ar"/>
              </w:rPr>
              <w:t>6</w:t>
            </w:r>
          </w:p>
        </w:tc>
        <w:tc>
          <w:tcPr>
            <w:tcW w:w="4252" w:type="dxa"/>
            <w:shd w:val="clear" w:color="auto" w:fill="auto"/>
            <w:noWrap w:val="0"/>
            <w:vAlign w:val="center"/>
          </w:tcPr>
          <w:p w14:paraId="4F9670F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水分</w:t>
            </w:r>
          </w:p>
        </w:tc>
        <w:tc>
          <w:tcPr>
            <w:tcW w:w="3672" w:type="dxa"/>
            <w:noWrap w:val="0"/>
            <w:vAlign w:val="center"/>
          </w:tcPr>
          <w:p w14:paraId="0C319AEC">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spacing w:val="7"/>
                <w:sz w:val="21"/>
                <w:szCs w:val="21"/>
                <w:lang w:val="en-US" w:eastAsia="zh-CN"/>
              </w:rPr>
              <w:t>GB/T 260-2016</w:t>
            </w:r>
          </w:p>
        </w:tc>
      </w:tr>
      <w:tr w14:paraId="06772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40C4A97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7</w:t>
            </w:r>
          </w:p>
        </w:tc>
        <w:tc>
          <w:tcPr>
            <w:tcW w:w="4252" w:type="dxa"/>
            <w:shd w:val="clear" w:color="auto" w:fill="auto"/>
            <w:noWrap w:val="0"/>
            <w:vAlign w:val="center"/>
          </w:tcPr>
          <w:p w14:paraId="37DA721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泡沫性</w:t>
            </w:r>
          </w:p>
        </w:tc>
        <w:tc>
          <w:tcPr>
            <w:tcW w:w="3672" w:type="dxa"/>
            <w:noWrap w:val="0"/>
            <w:vAlign w:val="center"/>
          </w:tcPr>
          <w:p w14:paraId="58214096">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spacing w:val="7"/>
                <w:sz w:val="21"/>
                <w:szCs w:val="21"/>
                <w:lang w:val="en-US" w:eastAsia="zh-CN"/>
              </w:rPr>
              <w:t>GB/T 12579-2002</w:t>
            </w:r>
            <w:r>
              <w:rPr>
                <w:rFonts w:hint="default" w:ascii="Times New Roman" w:hAnsi="Times New Roman" w:eastAsia="宋体" w:cs="Times New Roman"/>
                <w:spacing w:val="7"/>
                <w:sz w:val="21"/>
                <w:szCs w:val="21"/>
                <w:lang w:val="en-US" w:eastAsia="zh-CN"/>
              </w:rPr>
              <w:br w:type="textWrapping"/>
            </w:r>
            <w:r>
              <w:rPr>
                <w:rFonts w:hint="default" w:ascii="Times New Roman" w:hAnsi="Times New Roman" w:eastAsia="宋体" w:cs="Times New Roman"/>
                <w:spacing w:val="7"/>
                <w:sz w:val="21"/>
                <w:szCs w:val="21"/>
                <w:lang w:val="en-US" w:eastAsia="zh-CN"/>
              </w:rPr>
              <w:t>SH/T 0722-2002</w:t>
            </w:r>
          </w:p>
        </w:tc>
      </w:tr>
      <w:tr w14:paraId="135E8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noWrap w:val="0"/>
            <w:vAlign w:val="center"/>
          </w:tcPr>
          <w:p w14:paraId="448C2B2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8</w:t>
            </w:r>
          </w:p>
        </w:tc>
        <w:tc>
          <w:tcPr>
            <w:tcW w:w="0" w:type="auto"/>
            <w:shd w:val="clear" w:color="auto" w:fill="auto"/>
            <w:noWrap w:val="0"/>
            <w:vAlign w:val="center"/>
          </w:tcPr>
          <w:p w14:paraId="64D860B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蒸发损失</w:t>
            </w:r>
          </w:p>
        </w:tc>
        <w:tc>
          <w:tcPr>
            <w:tcW w:w="0" w:type="auto"/>
            <w:noWrap w:val="0"/>
            <w:vAlign w:val="center"/>
          </w:tcPr>
          <w:p w14:paraId="6ABD34C4">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spacing w:val="7"/>
                <w:sz w:val="21"/>
                <w:szCs w:val="21"/>
                <w:lang w:val="en-US" w:eastAsia="zh-CN"/>
              </w:rPr>
              <w:t>NB/SH/T 0059-2010</w:t>
            </w:r>
          </w:p>
        </w:tc>
      </w:tr>
      <w:tr w14:paraId="236AC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noWrap w:val="0"/>
            <w:vAlign w:val="center"/>
          </w:tcPr>
          <w:p w14:paraId="463E8A7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9</w:t>
            </w:r>
          </w:p>
        </w:tc>
        <w:tc>
          <w:tcPr>
            <w:tcW w:w="0" w:type="auto"/>
            <w:shd w:val="clear" w:color="auto" w:fill="auto"/>
            <w:noWrap w:val="0"/>
            <w:vAlign w:val="center"/>
          </w:tcPr>
          <w:p w14:paraId="5120DF5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机械杂质</w:t>
            </w:r>
          </w:p>
        </w:tc>
        <w:tc>
          <w:tcPr>
            <w:tcW w:w="0" w:type="auto"/>
            <w:noWrap w:val="0"/>
            <w:vAlign w:val="center"/>
          </w:tcPr>
          <w:p w14:paraId="7E795CE4">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spacing w:val="7"/>
                <w:sz w:val="21"/>
                <w:szCs w:val="21"/>
                <w:lang w:val="en-US" w:eastAsia="zh-CN"/>
              </w:rPr>
              <w:t>GB/T 511-2010</w:t>
            </w:r>
          </w:p>
        </w:tc>
      </w:tr>
      <w:tr w14:paraId="0FF68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noWrap w:val="0"/>
            <w:vAlign w:val="center"/>
          </w:tcPr>
          <w:p w14:paraId="4A85C7D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10</w:t>
            </w:r>
          </w:p>
        </w:tc>
        <w:tc>
          <w:tcPr>
            <w:tcW w:w="0" w:type="auto"/>
            <w:shd w:val="clear" w:color="auto" w:fill="auto"/>
            <w:noWrap w:val="0"/>
            <w:vAlign w:val="center"/>
          </w:tcPr>
          <w:p w14:paraId="7203E2A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闪点（开口）</w:t>
            </w:r>
          </w:p>
        </w:tc>
        <w:tc>
          <w:tcPr>
            <w:tcW w:w="0" w:type="auto"/>
            <w:noWrap w:val="0"/>
            <w:vAlign w:val="center"/>
          </w:tcPr>
          <w:p w14:paraId="1AB5F300">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spacing w:val="7"/>
                <w:sz w:val="21"/>
                <w:szCs w:val="21"/>
                <w:lang w:val="en-US" w:eastAsia="zh-CN"/>
              </w:rPr>
              <w:t>GB/T 3536-2008</w:t>
            </w:r>
          </w:p>
        </w:tc>
      </w:tr>
      <w:tr w14:paraId="7922F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noWrap w:val="0"/>
            <w:vAlign w:val="center"/>
          </w:tcPr>
          <w:p w14:paraId="4E4CFC4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11</w:t>
            </w:r>
          </w:p>
        </w:tc>
        <w:tc>
          <w:tcPr>
            <w:tcW w:w="0" w:type="auto"/>
            <w:shd w:val="clear" w:color="auto" w:fill="auto"/>
            <w:noWrap w:val="0"/>
            <w:vAlign w:val="center"/>
          </w:tcPr>
          <w:p w14:paraId="451C46A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磷</w:t>
            </w:r>
          </w:p>
        </w:tc>
        <w:tc>
          <w:tcPr>
            <w:tcW w:w="0" w:type="auto"/>
            <w:noWrap w:val="0"/>
            <w:vAlign w:val="center"/>
          </w:tcPr>
          <w:p w14:paraId="7351D488">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spacing w:val="7"/>
                <w:sz w:val="21"/>
                <w:szCs w:val="21"/>
                <w:lang w:val="en-US" w:eastAsia="zh-CN"/>
              </w:rPr>
              <w:t>SH/T 0296-1992</w:t>
            </w:r>
            <w:r>
              <w:rPr>
                <w:rFonts w:hint="default" w:ascii="Times New Roman" w:hAnsi="Times New Roman" w:eastAsia="宋体" w:cs="Times New Roman"/>
                <w:spacing w:val="7"/>
                <w:sz w:val="21"/>
                <w:szCs w:val="21"/>
                <w:lang w:val="en-US" w:eastAsia="zh-CN"/>
              </w:rPr>
              <w:br w:type="textWrapping"/>
            </w:r>
            <w:r>
              <w:rPr>
                <w:rFonts w:hint="default" w:ascii="Times New Roman" w:hAnsi="Times New Roman" w:eastAsia="宋体" w:cs="Times New Roman"/>
                <w:spacing w:val="7"/>
                <w:sz w:val="21"/>
                <w:szCs w:val="21"/>
                <w:lang w:val="en-US" w:eastAsia="zh-CN"/>
              </w:rPr>
              <w:t>GB/T 17476-2023</w:t>
            </w:r>
            <w:r>
              <w:rPr>
                <w:rFonts w:hint="default" w:ascii="Times New Roman" w:hAnsi="Times New Roman" w:eastAsia="宋体" w:cs="Times New Roman"/>
                <w:spacing w:val="7"/>
                <w:sz w:val="21"/>
                <w:szCs w:val="21"/>
                <w:lang w:val="en-US" w:eastAsia="zh-CN"/>
              </w:rPr>
              <w:br w:type="textWrapping"/>
            </w:r>
            <w:r>
              <w:rPr>
                <w:rFonts w:hint="default" w:ascii="Times New Roman" w:hAnsi="Times New Roman" w:eastAsia="宋体" w:cs="Times New Roman"/>
                <w:spacing w:val="7"/>
                <w:sz w:val="21"/>
                <w:szCs w:val="21"/>
                <w:lang w:val="en-US" w:eastAsia="zh-CN"/>
              </w:rPr>
              <w:t>SH/T 0749-2004</w:t>
            </w:r>
          </w:p>
        </w:tc>
      </w:tr>
    </w:tbl>
    <w:p w14:paraId="519BE0DC">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08F5D1D7">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21CC2B50">
      <w:pPr>
        <w:snapToGrid w:val="0"/>
        <w:spacing w:line="440" w:lineRule="exact"/>
        <w:ind w:firstLine="359" w:firstLineChars="171"/>
        <w:rPr>
          <w:rFonts w:hint="default" w:ascii="Times New Roman" w:hAnsi="Times New Roman" w:cs="Times New Roman"/>
          <w:szCs w:val="21"/>
        </w:rPr>
      </w:pPr>
    </w:p>
    <w:p w14:paraId="5C59B19C">
      <w:pPr>
        <w:spacing w:line="440" w:lineRule="exact"/>
        <w:rPr>
          <w:rFonts w:hint="default" w:ascii="Times New Roman" w:hAnsi="Times New Roman" w:eastAsia="黑体" w:cs="Times New Roman"/>
          <w:szCs w:val="21"/>
        </w:rPr>
      </w:pPr>
      <w:r>
        <w:rPr>
          <w:rFonts w:hint="default" w:ascii="Times New Roman" w:hAnsi="Times New Roman" w:eastAsia="黑体" w:cs="Times New Roman"/>
          <w:szCs w:val="21"/>
        </w:rPr>
        <w:t>3 判定规则</w:t>
      </w:r>
    </w:p>
    <w:p w14:paraId="0E3CD8BB">
      <w:pPr>
        <w:snapToGrid w:val="0"/>
        <w:spacing w:line="440" w:lineRule="exact"/>
        <w:rPr>
          <w:rFonts w:hint="default" w:ascii="Times New Roman" w:hAnsi="Times New Roman" w:cs="Times New Roman"/>
          <w:szCs w:val="21"/>
        </w:rPr>
      </w:pPr>
      <w:r>
        <w:rPr>
          <w:rFonts w:hint="default" w:ascii="Times New Roman" w:hAnsi="Times New Roman" w:cs="Times New Roman"/>
          <w:szCs w:val="21"/>
        </w:rPr>
        <w:t>3.1依据标准</w:t>
      </w:r>
    </w:p>
    <w:p w14:paraId="5F4C3CDC">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11121-2025 汽油机油</w:t>
      </w:r>
    </w:p>
    <w:p w14:paraId="2FFA43DD">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11122-2025 柴油机油</w:t>
      </w:r>
    </w:p>
    <w:p w14:paraId="6E79AB50">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14:paraId="5C05F669">
      <w:pPr>
        <w:snapToGrid w:val="0"/>
        <w:spacing w:line="440" w:lineRule="exact"/>
        <w:rPr>
          <w:rFonts w:hint="default" w:ascii="Times New Roman" w:hAnsi="Times New Roman" w:cs="Times New Roman"/>
          <w:szCs w:val="21"/>
        </w:rPr>
      </w:pPr>
      <w:r>
        <w:rPr>
          <w:rFonts w:hint="default" w:ascii="Times New Roman" w:hAnsi="Times New Roman" w:cs="Times New Roman"/>
          <w:szCs w:val="21"/>
        </w:rPr>
        <w:t>3.2判定原则</w:t>
      </w:r>
    </w:p>
    <w:p w14:paraId="2E6061C7">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经检验，检验项目全部合格，判定为被抽查产品所检项目未发现不合格；检验项目中任一项或一项以上不合格，判定为被抽查产品不合格。</w:t>
      </w:r>
    </w:p>
    <w:p w14:paraId="32518353">
      <w:pPr>
        <w:snapToGrid w:val="0"/>
        <w:spacing w:line="440" w:lineRule="exact"/>
        <w:ind w:firstLine="417" w:firstLineChars="199"/>
        <w:rPr>
          <w:rFonts w:hint="default" w:ascii="Times New Roman" w:hAnsi="Times New Roman" w:cs="Times New Roman"/>
          <w:szCs w:val="21"/>
        </w:rPr>
      </w:pPr>
      <w:r>
        <w:rPr>
          <w:rFonts w:hint="default" w:ascii="Times New Roman" w:hAnsi="Times New Roman" w:cs="Times New Roman"/>
          <w:szCs w:val="21"/>
        </w:rPr>
        <w:t>若被检产品明示的质量要求高于本细则中检验项目依据的标准要求时，应按被检产品明示的质量要求判定。</w:t>
      </w:r>
    </w:p>
    <w:p w14:paraId="3BEE9B1A">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5422246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6C6F8612">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179FEBF7">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bookmarkStart w:id="0" w:name="_GoBack"/>
      <w:bookmarkEnd w:id="0"/>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8CA77F-6A25-4E6E-A321-B71E300AA3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948A3987-2B49-4FDF-A74E-1677A11B673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6</w:t>
    </w:r>
    <w:r>
      <w:rPr>
        <w:rFonts w:hint="eastAsia"/>
        <w:sz w:val="21"/>
        <w:szCs w:val="21"/>
      </w:rPr>
      <w:t>)-</w:t>
    </w:r>
    <w:r>
      <w:rPr>
        <w:rFonts w:hint="eastAsia"/>
        <w:sz w:val="21"/>
        <w:szCs w:val="21"/>
        <w:lang w:val="en-US" w:eastAsia="zh-CN"/>
      </w:rPr>
      <w:t>013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05FB5E05"/>
    <w:rsid w:val="11563470"/>
    <w:rsid w:val="1A597193"/>
    <w:rsid w:val="1ACD1373"/>
    <w:rsid w:val="20971CA1"/>
    <w:rsid w:val="20FC618E"/>
    <w:rsid w:val="277A0467"/>
    <w:rsid w:val="307979B4"/>
    <w:rsid w:val="35500C36"/>
    <w:rsid w:val="372306C9"/>
    <w:rsid w:val="37481111"/>
    <w:rsid w:val="3B762191"/>
    <w:rsid w:val="3C5C49BD"/>
    <w:rsid w:val="3CD7078E"/>
    <w:rsid w:val="42EE08DB"/>
    <w:rsid w:val="466F602F"/>
    <w:rsid w:val="49557320"/>
    <w:rsid w:val="4FC76963"/>
    <w:rsid w:val="5416273B"/>
    <w:rsid w:val="582D3BBC"/>
    <w:rsid w:val="64967B8E"/>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Balloon Text"/>
    <w:basedOn w:val="1"/>
    <w:link w:val="13"/>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qFormat/>
    <w:uiPriority w:val="0"/>
  </w:style>
  <w:style w:type="character" w:styleId="11">
    <w:name w:val="annotation reference"/>
    <w:unhideWhenUsed/>
    <w:qFormat/>
    <w:uiPriority w:val="99"/>
    <w:rPr>
      <w:sz w:val="21"/>
      <w:szCs w:val="21"/>
    </w:rPr>
  </w:style>
  <w:style w:type="character" w:customStyle="1" w:styleId="12">
    <w:name w:val="批注文字 Char"/>
    <w:link w:val="2"/>
    <w:semiHidden/>
    <w:qFormat/>
    <w:uiPriority w:val="99"/>
    <w:rPr>
      <w:kern w:val="2"/>
      <w:sz w:val="21"/>
      <w:szCs w:val="24"/>
    </w:rPr>
  </w:style>
  <w:style w:type="character" w:customStyle="1" w:styleId="13">
    <w:name w:val="批注框文本 Char"/>
    <w:link w:val="3"/>
    <w:semiHidden/>
    <w:qFormat/>
    <w:uiPriority w:val="99"/>
    <w:rPr>
      <w:kern w:val="2"/>
      <w:sz w:val="18"/>
      <w:szCs w:val="18"/>
    </w:rPr>
  </w:style>
  <w:style w:type="character" w:customStyle="1" w:styleId="14">
    <w:name w:val="页脚 Char"/>
    <w:link w:val="4"/>
    <w:qFormat/>
    <w:uiPriority w:val="99"/>
    <w:rPr>
      <w:kern w:val="2"/>
      <w:sz w:val="18"/>
      <w:szCs w:val="18"/>
    </w:rPr>
  </w:style>
  <w:style w:type="character" w:customStyle="1" w:styleId="15">
    <w:name w:val="页眉 Char"/>
    <w:link w:val="5"/>
    <w:semiHidden/>
    <w:qFormat/>
    <w:uiPriority w:val="99"/>
    <w:rPr>
      <w:kern w:val="2"/>
      <w:sz w:val="18"/>
      <w:szCs w:val="18"/>
    </w:rPr>
  </w:style>
  <w:style w:type="character" w:customStyle="1" w:styleId="16">
    <w:name w:val="批注主题 Char"/>
    <w:link w:val="6"/>
    <w:semiHidden/>
    <w:qFormat/>
    <w:uiPriority w:val="99"/>
    <w:rPr>
      <w:b/>
      <w:bCs/>
      <w:kern w:val="2"/>
      <w:sz w:val="21"/>
      <w:szCs w:val="24"/>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679</Words>
  <Characters>885</Characters>
  <Lines>10</Lines>
  <Paragraphs>2</Paragraphs>
  <TotalTime>0</TotalTime>
  <ScaleCrop>false</ScaleCrop>
  <LinksUpToDate>false</LinksUpToDate>
  <CharactersWithSpaces>908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2026-08-20T07:34:57Z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